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61" w:rsidRPr="007E4A0D" w:rsidRDefault="007E4A0D" w:rsidP="009E5061">
      <w:pPr>
        <w:spacing w:before="100" w:beforeAutospacing="1" w:after="100" w:afterAutospacing="1" w:line="240" w:lineRule="auto"/>
        <w:rPr>
          <w:rFonts w:eastAsia="Times New Roman" w:cs="Times New Roman"/>
          <w:sz w:val="24"/>
          <w:szCs w:val="24"/>
          <w:lang w:eastAsia="fr-FR"/>
        </w:rPr>
      </w:pPr>
      <w:r w:rsidRPr="007E4A0D">
        <w:rPr>
          <w:rFonts w:eastAsia="Times New Roman" w:cs="Times New Roman"/>
          <w:sz w:val="24"/>
          <w:szCs w:val="24"/>
          <w:lang w:eastAsia="fr-FR"/>
        </w:rPr>
        <w:t>« </w:t>
      </w:r>
      <w:proofErr w:type="spellStart"/>
      <w:r w:rsidR="009E5061" w:rsidRPr="007E4A0D">
        <w:rPr>
          <w:rFonts w:eastAsia="Times New Roman" w:cs="Times New Roman"/>
          <w:sz w:val="24"/>
          <w:szCs w:val="24"/>
          <w:lang w:eastAsia="fr-FR"/>
        </w:rPr>
        <w:t>ToutEduc</w:t>
      </w:r>
      <w:proofErr w:type="spellEnd"/>
      <w:r w:rsidRPr="007E4A0D">
        <w:rPr>
          <w:rFonts w:eastAsia="Times New Roman" w:cs="Times New Roman"/>
          <w:sz w:val="24"/>
          <w:szCs w:val="24"/>
          <w:lang w:eastAsia="fr-FR"/>
        </w:rPr>
        <w:t> »</w:t>
      </w:r>
      <w:r w:rsidR="009E5061" w:rsidRPr="007E4A0D">
        <w:rPr>
          <w:rFonts w:eastAsia="Times New Roman" w:cs="Times New Roman"/>
          <w:sz w:val="24"/>
          <w:szCs w:val="24"/>
          <w:lang w:eastAsia="fr-FR"/>
        </w:rPr>
        <w:t xml:space="preserve"> met à la disposition de tous les internautes certains articles récents, les tribunes, et tous les articles publiés depuis plus d'un an...</w:t>
      </w:r>
    </w:p>
    <w:p w:rsidR="009E5061" w:rsidRPr="007E4A0D" w:rsidRDefault="007E4A0D" w:rsidP="009E5061">
      <w:pPr>
        <w:spacing w:before="100" w:beforeAutospacing="1" w:after="100" w:afterAutospacing="1" w:line="240" w:lineRule="auto"/>
        <w:outlineLvl w:val="3"/>
        <w:rPr>
          <w:rFonts w:eastAsia="Times New Roman" w:cs="Times New Roman"/>
          <w:b/>
          <w:bCs/>
          <w:sz w:val="24"/>
          <w:szCs w:val="24"/>
          <w:lang w:eastAsia="fr-FR"/>
        </w:rPr>
      </w:pPr>
      <w:hyperlink r:id="rId5" w:history="1">
        <w:r w:rsidR="009E5061" w:rsidRPr="007E4A0D">
          <w:rPr>
            <w:rFonts w:eastAsia="Times New Roman" w:cs="Times New Roman"/>
            <w:b/>
            <w:bCs/>
            <w:color w:val="0000FF"/>
            <w:sz w:val="24"/>
            <w:szCs w:val="24"/>
            <w:u w:val="single"/>
            <w:lang w:eastAsia="fr-FR"/>
          </w:rPr>
          <w:t>L'OCDE pointe les paradoxes du système scolaire français</w:t>
        </w:r>
      </w:hyperlink>
    </w:p>
    <w:p w:rsidR="009E5061" w:rsidRPr="007E4A0D" w:rsidRDefault="009E5061" w:rsidP="009E5061">
      <w:pPr>
        <w:spacing w:before="100" w:beforeAutospacing="1" w:after="100" w:afterAutospacing="1" w:line="240" w:lineRule="auto"/>
        <w:outlineLvl w:val="5"/>
        <w:rPr>
          <w:rFonts w:eastAsia="Times New Roman" w:cs="Times New Roman"/>
          <w:b/>
          <w:bCs/>
          <w:sz w:val="24"/>
          <w:szCs w:val="24"/>
          <w:lang w:eastAsia="fr-FR"/>
        </w:rPr>
      </w:pPr>
      <w:r w:rsidRPr="007E4A0D">
        <w:rPr>
          <w:rFonts w:eastAsia="Times New Roman" w:cs="Times New Roman"/>
          <w:b/>
          <w:bCs/>
          <w:sz w:val="24"/>
          <w:szCs w:val="24"/>
          <w:lang w:eastAsia="fr-FR"/>
        </w:rPr>
        <w:t xml:space="preserve">Paru dans </w:t>
      </w:r>
      <w:hyperlink r:id="rId6" w:history="1">
        <w:r w:rsidRPr="007E4A0D">
          <w:rPr>
            <w:rFonts w:eastAsia="Times New Roman" w:cs="Times New Roman"/>
            <w:b/>
            <w:bCs/>
            <w:color w:val="0000FF"/>
            <w:sz w:val="24"/>
            <w:szCs w:val="24"/>
            <w:u w:val="single"/>
            <w:lang w:eastAsia="fr-FR"/>
          </w:rPr>
          <w:t>Scolaire</w:t>
        </w:r>
      </w:hyperlink>
      <w:r w:rsidRPr="007E4A0D">
        <w:rPr>
          <w:rFonts w:eastAsia="Times New Roman" w:cs="Times New Roman"/>
          <w:b/>
          <w:bCs/>
          <w:sz w:val="24"/>
          <w:szCs w:val="24"/>
          <w:lang w:eastAsia="fr-FR"/>
        </w:rPr>
        <w:t xml:space="preserve"> le mardi 12 septembre 2017. </w:t>
      </w:r>
    </w:p>
    <w:p w:rsidR="009E5061" w:rsidRPr="007E4A0D" w:rsidRDefault="009E5061" w:rsidP="007E4A0D">
      <w:pPr>
        <w:spacing w:before="100" w:beforeAutospacing="1" w:after="100" w:afterAutospacing="1" w:line="240" w:lineRule="auto"/>
        <w:jc w:val="both"/>
        <w:rPr>
          <w:rFonts w:eastAsia="Times New Roman" w:cs="Times New Roman"/>
          <w:sz w:val="24"/>
          <w:szCs w:val="24"/>
          <w:lang w:eastAsia="fr-FR"/>
        </w:rPr>
      </w:pPr>
      <w:r w:rsidRPr="007E4A0D">
        <w:rPr>
          <w:rFonts w:eastAsia="Times New Roman" w:cs="Times New Roman"/>
          <w:sz w:val="24"/>
          <w:szCs w:val="24"/>
          <w:lang w:eastAsia="fr-FR"/>
        </w:rPr>
        <w:t xml:space="preserve">"Les pouvoirs publics s'intéressent de plus en plus aux analyses comparatives internationales (...) lorsqu'ils doivent élaborer des politiques (...) [et] mettre en </w:t>
      </w:r>
      <w:r w:rsidR="007E4A0D" w:rsidRPr="007E4A0D">
        <w:rPr>
          <w:rFonts w:eastAsia="Times New Roman" w:cs="Times New Roman"/>
          <w:sz w:val="24"/>
          <w:szCs w:val="24"/>
          <w:lang w:eastAsia="fr-FR"/>
        </w:rPr>
        <w:t>œuvre</w:t>
      </w:r>
      <w:r w:rsidRPr="007E4A0D">
        <w:rPr>
          <w:rFonts w:eastAsia="Times New Roman" w:cs="Times New Roman"/>
          <w:sz w:val="24"/>
          <w:szCs w:val="24"/>
          <w:lang w:eastAsia="fr-FR"/>
        </w:rPr>
        <w:t xml:space="preserve"> des systèmes d'éducation plus efficaces et plus équita</w:t>
      </w:r>
      <w:r w:rsidR="007E4A0D">
        <w:rPr>
          <w:rFonts w:eastAsia="Times New Roman" w:cs="Times New Roman"/>
          <w:sz w:val="24"/>
          <w:szCs w:val="24"/>
          <w:lang w:eastAsia="fr-FR"/>
        </w:rPr>
        <w:t>bles", note l'OCDE dans l'avant-</w:t>
      </w:r>
      <w:r w:rsidRPr="007E4A0D">
        <w:rPr>
          <w:rFonts w:eastAsia="Times New Roman" w:cs="Times New Roman"/>
          <w:sz w:val="24"/>
          <w:szCs w:val="24"/>
          <w:lang w:eastAsia="fr-FR"/>
        </w:rPr>
        <w:t>propos de son édition annuelle des "Regards sur l'éducation", un fort volume de près de 500 pages compilant l'ensemble des indicateurs disponibles. Publié ce 12 septembre, il montre que, dans l'ensemble des pays avancés, "le niveau de formation des adultes a augmenté" mais que "la profession enseignante pâtit du manque d'attractivité des salaires et du vieillissement du corps enseignant".</w:t>
      </w:r>
    </w:p>
    <w:p w:rsidR="009E5061" w:rsidRPr="007E4A0D" w:rsidRDefault="009E5061" w:rsidP="007E4A0D">
      <w:pPr>
        <w:spacing w:before="100" w:beforeAutospacing="1" w:after="100" w:afterAutospacing="1" w:line="240" w:lineRule="auto"/>
        <w:jc w:val="both"/>
        <w:rPr>
          <w:rFonts w:eastAsia="Times New Roman" w:cs="Times New Roman"/>
          <w:sz w:val="24"/>
          <w:szCs w:val="24"/>
          <w:lang w:eastAsia="fr-FR"/>
        </w:rPr>
      </w:pPr>
      <w:r w:rsidRPr="007E4A0D">
        <w:rPr>
          <w:rFonts w:eastAsia="Times New Roman" w:cs="Times New Roman"/>
          <w:sz w:val="24"/>
          <w:szCs w:val="24"/>
          <w:lang w:eastAsia="fr-FR"/>
        </w:rPr>
        <w:t xml:space="preserve">Dans la présentation qu'elle en a faite pour la France, Corinne </w:t>
      </w:r>
      <w:proofErr w:type="spellStart"/>
      <w:r w:rsidRPr="007E4A0D">
        <w:rPr>
          <w:rFonts w:eastAsia="Times New Roman" w:cs="Times New Roman"/>
          <w:sz w:val="24"/>
          <w:szCs w:val="24"/>
          <w:lang w:eastAsia="fr-FR"/>
        </w:rPr>
        <w:t>Heckmann</w:t>
      </w:r>
      <w:proofErr w:type="spellEnd"/>
      <w:r w:rsidRPr="007E4A0D">
        <w:rPr>
          <w:rFonts w:eastAsia="Times New Roman" w:cs="Times New Roman"/>
          <w:sz w:val="24"/>
          <w:szCs w:val="24"/>
          <w:lang w:eastAsia="fr-FR"/>
        </w:rPr>
        <w:t xml:space="preserve"> met en évidence un paradoxe, le niveau des élèves français au CM1, mesuré par PIRLS (lecture) et TIMMS (mathématiques et sciences) est très largement inférieur à la moyenne européenne, bien que la France soit, après le Mexique, le pays qui consacre le plus d'heures aux enseignements fondamentaux, près de 60 % du temps d'enseignement, lequel, avec 864 heures de classe par an, est au-dessus de la moyenne européenne (776 heures). De plus, les élèves français avaient, même avec la semaine de 4,5 jours, le plus faible nombre de jours de classe par an, 162 contre 183 (moy</w:t>
      </w:r>
      <w:r w:rsidR="007E4A0D">
        <w:rPr>
          <w:rFonts w:eastAsia="Times New Roman" w:cs="Times New Roman"/>
          <w:sz w:val="24"/>
          <w:szCs w:val="24"/>
          <w:lang w:eastAsia="fr-FR"/>
        </w:rPr>
        <w:t>e</w:t>
      </w:r>
      <w:r w:rsidRPr="007E4A0D">
        <w:rPr>
          <w:rFonts w:eastAsia="Times New Roman" w:cs="Times New Roman"/>
          <w:sz w:val="24"/>
          <w:szCs w:val="24"/>
          <w:lang w:eastAsia="fr-FR"/>
        </w:rPr>
        <w:t>nne européenne). Les premières évaluations de la réforme des rythmes scolaires n'ont certes pas donné "des résultats aussi positifs qu'on l'aurait imaginé", mais l'OCDE regrette le retour aux 4 jours, d'autant que certaines communes semblent faire ce choix pour des raisons financières. Les effectifs, 23 élèves en moyenne dans les classes élémentaires (avant la réforme de cette année)</w:t>
      </w:r>
      <w:r w:rsidR="007E4A0D">
        <w:rPr>
          <w:rFonts w:eastAsia="Times New Roman" w:cs="Times New Roman"/>
          <w:sz w:val="24"/>
          <w:szCs w:val="24"/>
          <w:lang w:eastAsia="fr-FR"/>
        </w:rPr>
        <w:t>,</w:t>
      </w:r>
      <w:r w:rsidRPr="007E4A0D">
        <w:rPr>
          <w:rFonts w:eastAsia="Times New Roman" w:cs="Times New Roman"/>
          <w:sz w:val="24"/>
          <w:szCs w:val="24"/>
          <w:lang w:eastAsia="fr-FR"/>
        </w:rPr>
        <w:t xml:space="preserve"> est légèrement supérieure à la moyenne de l'OCDE ou des pays européens de l'OCDE (21). Dès lors, sur quels leviers agir ?</w:t>
      </w:r>
    </w:p>
    <w:p w:rsidR="009E5061" w:rsidRPr="007E4A0D" w:rsidRDefault="009E5061" w:rsidP="007E4A0D">
      <w:pPr>
        <w:spacing w:before="100" w:beforeAutospacing="1" w:after="100" w:afterAutospacing="1" w:line="240" w:lineRule="auto"/>
        <w:jc w:val="both"/>
        <w:rPr>
          <w:rFonts w:eastAsia="Times New Roman" w:cs="Times New Roman"/>
          <w:sz w:val="24"/>
          <w:szCs w:val="24"/>
          <w:lang w:eastAsia="fr-FR"/>
        </w:rPr>
      </w:pPr>
      <w:r w:rsidRPr="007E4A0D">
        <w:rPr>
          <w:rFonts w:eastAsia="Times New Roman" w:cs="Times New Roman"/>
          <w:sz w:val="24"/>
          <w:szCs w:val="24"/>
          <w:lang w:eastAsia="fr-FR"/>
        </w:rPr>
        <w:t>La réduction massive des effectifs au cours préparatoire et au CE1 correspond aux données de la littérature internationale, mais elle ne sera efficace que si elle s'accompagne d'une adaptation de la pédagogie, si les enseignants disposent de supports différenciés, s'adaptent aux niveaux de langage très divers des élèves, les mettent en confiance, et travaillent avec leurs intelligences multiples. L'OCDE pointe aussi du doigt la faiblesse de la scolarisation avant 3 ans, les structures d'accueil de la petite enfance de nombreux pays ayant, contrairement à ce qui se passe en France, "un volet pédagogique". Quant au dispositif "plus de maîtres que de classes", il allait "dans le bon sens".</w:t>
      </w:r>
    </w:p>
    <w:p w:rsidR="009E5061" w:rsidRPr="007E4A0D" w:rsidRDefault="009E5061" w:rsidP="009E5061">
      <w:pPr>
        <w:spacing w:before="100" w:beforeAutospacing="1" w:after="100" w:afterAutospacing="1" w:line="240" w:lineRule="auto"/>
        <w:rPr>
          <w:rFonts w:eastAsia="Times New Roman" w:cs="Times New Roman"/>
          <w:sz w:val="24"/>
          <w:szCs w:val="24"/>
          <w:lang w:eastAsia="fr-FR"/>
        </w:rPr>
      </w:pPr>
      <w:r w:rsidRPr="007E4A0D">
        <w:rPr>
          <w:rFonts w:eastAsia="Times New Roman" w:cs="Times New Roman"/>
          <w:b/>
          <w:bCs/>
          <w:sz w:val="24"/>
          <w:szCs w:val="24"/>
          <w:lang w:eastAsia="fr-FR"/>
        </w:rPr>
        <w:t>Le vieillissement du corps enseignant</w:t>
      </w:r>
    </w:p>
    <w:p w:rsidR="007E4A0D" w:rsidRDefault="009E5061" w:rsidP="007E4A0D">
      <w:pPr>
        <w:spacing w:before="100" w:beforeAutospacing="1" w:after="100" w:afterAutospacing="1" w:line="240" w:lineRule="auto"/>
        <w:jc w:val="both"/>
        <w:rPr>
          <w:rFonts w:eastAsia="Times New Roman" w:cs="Times New Roman"/>
          <w:sz w:val="24"/>
          <w:szCs w:val="24"/>
          <w:lang w:eastAsia="fr-FR"/>
        </w:rPr>
      </w:pPr>
      <w:r w:rsidRPr="007E4A0D">
        <w:rPr>
          <w:rFonts w:eastAsia="Times New Roman" w:cs="Times New Roman"/>
          <w:sz w:val="24"/>
          <w:szCs w:val="24"/>
          <w:lang w:eastAsia="fr-FR"/>
        </w:rPr>
        <w:t xml:space="preserve">L'OCDE évoque, parmi les caractéristiques de la situation française, une diminution très importante de la part des enseignants du 1er degré de moins de 30 ans, passée en 10 ans de 16 à 8 %, alors qu'elle est </w:t>
      </w:r>
      <w:r w:rsidR="007E4A0D">
        <w:rPr>
          <w:rFonts w:eastAsia="Times New Roman" w:cs="Times New Roman"/>
          <w:sz w:val="24"/>
          <w:szCs w:val="24"/>
          <w:lang w:eastAsia="fr-FR"/>
        </w:rPr>
        <w:t>passée de 23 à 30 % au Royaume-U</w:t>
      </w:r>
      <w:r w:rsidRPr="007E4A0D">
        <w:rPr>
          <w:rFonts w:eastAsia="Times New Roman" w:cs="Times New Roman"/>
          <w:sz w:val="24"/>
          <w:szCs w:val="24"/>
          <w:lang w:eastAsia="fr-FR"/>
        </w:rPr>
        <w:t>ni et de 17 à 12 % en moyenne OCDE. Leurs salaires (32 700 équiv</w:t>
      </w:r>
      <w:r w:rsidR="007E4A0D">
        <w:rPr>
          <w:rFonts w:eastAsia="Times New Roman" w:cs="Times New Roman"/>
          <w:sz w:val="24"/>
          <w:szCs w:val="24"/>
          <w:lang w:eastAsia="fr-FR"/>
        </w:rPr>
        <w:t>alents $, 28 525 en début de ca</w:t>
      </w:r>
      <w:r w:rsidRPr="007E4A0D">
        <w:rPr>
          <w:rFonts w:eastAsia="Times New Roman" w:cs="Times New Roman"/>
          <w:sz w:val="24"/>
          <w:szCs w:val="24"/>
          <w:lang w:eastAsia="fr-FR"/>
        </w:rPr>
        <w:t xml:space="preserve">rrière) sont inférieurs à la moyenne européenne (35 300, 30 080 en début de carrière, 54 426 en Allemagne), alors qu'ils font 900 h par an devant élèves contre 766 en moyenne européenne, et qu'ils ont des tâches autres que d'enseignement importantes. </w:t>
      </w:r>
    </w:p>
    <w:p w:rsidR="009E5061" w:rsidRPr="007E4A0D" w:rsidRDefault="009E5061" w:rsidP="007E4A0D">
      <w:pPr>
        <w:spacing w:before="100" w:beforeAutospacing="1" w:after="100" w:afterAutospacing="1" w:line="240" w:lineRule="auto"/>
        <w:jc w:val="both"/>
        <w:rPr>
          <w:rFonts w:eastAsia="Times New Roman" w:cs="Times New Roman"/>
          <w:sz w:val="24"/>
          <w:szCs w:val="24"/>
          <w:lang w:eastAsia="fr-FR"/>
        </w:rPr>
      </w:pPr>
      <w:r w:rsidRPr="007E4A0D">
        <w:rPr>
          <w:rFonts w:eastAsia="Times New Roman" w:cs="Times New Roman"/>
          <w:sz w:val="24"/>
          <w:szCs w:val="24"/>
          <w:lang w:eastAsia="fr-FR"/>
        </w:rPr>
        <w:lastRenderedPageBreak/>
        <w:t>"On souhaiterait une réflexion sur le métier d'enseignant, sur la question du salaire, même si on ne choisit pas ce métier pour gagner beaucoup d'argent, mais aussi sur la formation et l'accompagnement tout au long de la carrière, avec des supports et des aides pour le travail avec des élèves en difficulté."</w:t>
      </w:r>
    </w:p>
    <w:p w:rsidR="009E5061" w:rsidRPr="009E5061" w:rsidRDefault="009E5061" w:rsidP="007E4A0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r w:rsidRPr="007E4A0D">
        <w:rPr>
          <w:rFonts w:eastAsia="Times New Roman" w:cs="Times New Roman"/>
          <w:sz w:val="24"/>
          <w:szCs w:val="24"/>
          <w:lang w:eastAsia="fr-FR"/>
        </w:rPr>
        <w:t xml:space="preserve">Car on sait ce qui marche : la coopération entre enseignants, y compris le partage de "bonnes pratiques" via les réseaux sociaux, le travail avec de petits groupes d'élèves, la différenciation des supports selon les diverses formes d'intelligence. L'analyste de l'organisation internationale a évidemment été interrogée par les journalistes sur les mesures prises depuis cet été. L'évaluation des établissements, dit-elle, suppose la mise en place d'un dispositif d'évaluation. Au collège, les enseignements interdisciplinaires étaient intéressants car ils permettaient d'aborder autrement des connaissances inscrites au programme, sans doute des formations et des supports pédagogiques ont-ils manqué. Quant aux classes </w:t>
      </w:r>
      <w:proofErr w:type="spellStart"/>
      <w:r w:rsidRPr="007E4A0D">
        <w:rPr>
          <w:rFonts w:eastAsia="Times New Roman" w:cs="Times New Roman"/>
          <w:sz w:val="24"/>
          <w:szCs w:val="24"/>
          <w:lang w:eastAsia="fr-FR"/>
        </w:rPr>
        <w:t>bilangues</w:t>
      </w:r>
      <w:proofErr w:type="spellEnd"/>
      <w:r w:rsidRPr="007E4A0D">
        <w:rPr>
          <w:rFonts w:eastAsia="Times New Roman" w:cs="Times New Roman"/>
          <w:sz w:val="24"/>
          <w:szCs w:val="24"/>
          <w:lang w:eastAsia="fr-FR"/>
        </w:rPr>
        <w:t xml:space="preserve"> et à l'option latin, elles risquent de renforcer l'élitisme. L'OCDE ajoute que le surcoût du lycée s'explique par la diversité des</w:t>
      </w:r>
      <w:r w:rsidRPr="009E5061">
        <w:rPr>
          <w:rFonts w:ascii="Times New Roman" w:eastAsia="Times New Roman" w:hAnsi="Times New Roman" w:cs="Times New Roman"/>
          <w:sz w:val="24"/>
          <w:szCs w:val="24"/>
          <w:lang w:eastAsia="fr-FR"/>
        </w:rPr>
        <w:t xml:space="preserve"> options.</w:t>
      </w:r>
      <w:bookmarkEnd w:id="0"/>
    </w:p>
    <w:sectPr w:rsidR="009E5061" w:rsidRPr="009E5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6528E"/>
    <w:multiLevelType w:val="multilevel"/>
    <w:tmpl w:val="BE9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55053"/>
    <w:multiLevelType w:val="multilevel"/>
    <w:tmpl w:val="909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233B2"/>
    <w:multiLevelType w:val="multilevel"/>
    <w:tmpl w:val="C2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C"/>
    <w:rsid w:val="00401484"/>
    <w:rsid w:val="004518DC"/>
    <w:rsid w:val="007E4A0D"/>
    <w:rsid w:val="009E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EEE2-013E-42C0-8FCC-0AA1105B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48861">
      <w:bodyDiv w:val="1"/>
      <w:marLeft w:val="0"/>
      <w:marRight w:val="0"/>
      <w:marTop w:val="0"/>
      <w:marBottom w:val="0"/>
      <w:divBdr>
        <w:top w:val="none" w:sz="0" w:space="0" w:color="auto"/>
        <w:left w:val="none" w:sz="0" w:space="0" w:color="auto"/>
        <w:bottom w:val="none" w:sz="0" w:space="0" w:color="auto"/>
        <w:right w:val="none" w:sz="0" w:space="0" w:color="auto"/>
      </w:divBdr>
      <w:divsChild>
        <w:div w:id="1856845455">
          <w:marLeft w:val="0"/>
          <w:marRight w:val="0"/>
          <w:marTop w:val="0"/>
          <w:marBottom w:val="0"/>
          <w:divBdr>
            <w:top w:val="none" w:sz="0" w:space="0" w:color="auto"/>
            <w:left w:val="none" w:sz="0" w:space="0" w:color="auto"/>
            <w:bottom w:val="none" w:sz="0" w:space="0" w:color="auto"/>
            <w:right w:val="none" w:sz="0" w:space="0" w:color="auto"/>
          </w:divBdr>
          <w:divsChild>
            <w:div w:id="482739958">
              <w:marLeft w:val="0"/>
              <w:marRight w:val="0"/>
              <w:marTop w:val="0"/>
              <w:marBottom w:val="0"/>
              <w:divBdr>
                <w:top w:val="none" w:sz="0" w:space="0" w:color="auto"/>
                <w:left w:val="none" w:sz="0" w:space="0" w:color="auto"/>
                <w:bottom w:val="none" w:sz="0" w:space="0" w:color="auto"/>
                <w:right w:val="none" w:sz="0" w:space="0" w:color="auto"/>
              </w:divBdr>
              <w:divsChild>
                <w:div w:id="1686713285">
                  <w:marLeft w:val="0"/>
                  <w:marRight w:val="0"/>
                  <w:marTop w:val="0"/>
                  <w:marBottom w:val="0"/>
                  <w:divBdr>
                    <w:top w:val="none" w:sz="0" w:space="0" w:color="auto"/>
                    <w:left w:val="none" w:sz="0" w:space="0" w:color="auto"/>
                    <w:bottom w:val="none" w:sz="0" w:space="0" w:color="auto"/>
                    <w:right w:val="none" w:sz="0" w:space="0" w:color="auto"/>
                  </w:divBdr>
                  <w:divsChild>
                    <w:div w:id="64113003">
                      <w:marLeft w:val="0"/>
                      <w:marRight w:val="0"/>
                      <w:marTop w:val="0"/>
                      <w:marBottom w:val="0"/>
                      <w:divBdr>
                        <w:top w:val="none" w:sz="0" w:space="0" w:color="auto"/>
                        <w:left w:val="none" w:sz="0" w:space="0" w:color="auto"/>
                        <w:bottom w:val="none" w:sz="0" w:space="0" w:color="auto"/>
                        <w:right w:val="none" w:sz="0" w:space="0" w:color="auto"/>
                      </w:divBdr>
                    </w:div>
                    <w:div w:id="18343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828">
              <w:marLeft w:val="0"/>
              <w:marRight w:val="0"/>
              <w:marTop w:val="0"/>
              <w:marBottom w:val="0"/>
              <w:divBdr>
                <w:top w:val="none" w:sz="0" w:space="0" w:color="auto"/>
                <w:left w:val="none" w:sz="0" w:space="0" w:color="auto"/>
                <w:bottom w:val="none" w:sz="0" w:space="0" w:color="auto"/>
                <w:right w:val="none" w:sz="0" w:space="0" w:color="auto"/>
              </w:divBdr>
              <w:divsChild>
                <w:div w:id="1089154932">
                  <w:marLeft w:val="0"/>
                  <w:marRight w:val="0"/>
                  <w:marTop w:val="0"/>
                  <w:marBottom w:val="0"/>
                  <w:divBdr>
                    <w:top w:val="none" w:sz="0" w:space="0" w:color="auto"/>
                    <w:left w:val="none" w:sz="0" w:space="0" w:color="auto"/>
                    <w:bottom w:val="none" w:sz="0" w:space="0" w:color="auto"/>
                    <w:right w:val="none" w:sz="0" w:space="0" w:color="auto"/>
                  </w:divBdr>
                  <w:divsChild>
                    <w:div w:id="211423752">
                      <w:marLeft w:val="0"/>
                      <w:marRight w:val="0"/>
                      <w:marTop w:val="0"/>
                      <w:marBottom w:val="0"/>
                      <w:divBdr>
                        <w:top w:val="none" w:sz="0" w:space="0" w:color="auto"/>
                        <w:left w:val="none" w:sz="0" w:space="0" w:color="auto"/>
                        <w:bottom w:val="none" w:sz="0" w:space="0" w:color="auto"/>
                        <w:right w:val="none" w:sz="0" w:space="0" w:color="auto"/>
                      </w:divBdr>
                    </w:div>
                  </w:divsChild>
                </w:div>
                <w:div w:id="256908190">
                  <w:marLeft w:val="0"/>
                  <w:marRight w:val="0"/>
                  <w:marTop w:val="0"/>
                  <w:marBottom w:val="0"/>
                  <w:divBdr>
                    <w:top w:val="none" w:sz="0" w:space="0" w:color="auto"/>
                    <w:left w:val="none" w:sz="0" w:space="0" w:color="auto"/>
                    <w:bottom w:val="none" w:sz="0" w:space="0" w:color="auto"/>
                    <w:right w:val="none" w:sz="0" w:space="0" w:color="auto"/>
                  </w:divBdr>
                </w:div>
                <w:div w:id="212741244">
                  <w:marLeft w:val="0"/>
                  <w:marRight w:val="0"/>
                  <w:marTop w:val="0"/>
                  <w:marBottom w:val="0"/>
                  <w:divBdr>
                    <w:top w:val="none" w:sz="0" w:space="0" w:color="auto"/>
                    <w:left w:val="none" w:sz="0" w:space="0" w:color="auto"/>
                    <w:bottom w:val="none" w:sz="0" w:space="0" w:color="auto"/>
                    <w:right w:val="none" w:sz="0" w:space="0" w:color="auto"/>
                  </w:divBdr>
                </w:div>
                <w:div w:id="1472868273">
                  <w:marLeft w:val="0"/>
                  <w:marRight w:val="0"/>
                  <w:marTop w:val="0"/>
                  <w:marBottom w:val="0"/>
                  <w:divBdr>
                    <w:top w:val="none" w:sz="0" w:space="0" w:color="auto"/>
                    <w:left w:val="none" w:sz="0" w:space="0" w:color="auto"/>
                    <w:bottom w:val="none" w:sz="0" w:space="0" w:color="auto"/>
                    <w:right w:val="none" w:sz="0" w:space="0" w:color="auto"/>
                  </w:divBdr>
                </w:div>
                <w:div w:id="1230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teduc.fr/fr/scolaire/theme-29-recherches-et-publications" TargetMode="External"/><Relationship Id="rId5" Type="http://schemas.openxmlformats.org/officeDocument/2006/relationships/hyperlink" Target="http://www.touteduc.fr/fr/archives/id-14061-l-ocde-pointe-les-paradoxes-du-systeme-scolaire-franca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GIRERD ROBERT</dc:creator>
  <cp:keywords/>
  <dc:description/>
  <cp:lastModifiedBy>circo</cp:lastModifiedBy>
  <cp:revision>2</cp:revision>
  <dcterms:created xsi:type="dcterms:W3CDTF">2017-09-18T07:34:00Z</dcterms:created>
  <dcterms:modified xsi:type="dcterms:W3CDTF">2017-09-18T07:34:00Z</dcterms:modified>
</cp:coreProperties>
</file>